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1" w:rsidRDefault="00E85C71" w:rsidP="00346489">
      <w:pPr>
        <w:pStyle w:val="Heading6"/>
        <w:framePr w:hSpace="0" w:wrap="auto" w:vAnchor="margin" w:hAnchor="text" w:yAlign="inline"/>
        <w:rPr>
          <w:rFonts w:ascii="Times New Roman" w:hAnsi="Times New Roman" w:cs="Times New Roman"/>
          <w:caps/>
        </w:rPr>
      </w:pPr>
    </w:p>
    <w:p w:rsidR="00E85C71" w:rsidRDefault="00E85C71" w:rsidP="00346489">
      <w:pPr>
        <w:pStyle w:val="Heading6"/>
        <w:framePr w:hSpace="0" w:wrap="auto" w:vAnchor="margin" w:hAnchor="text" w:yAlign="inline"/>
        <w:rPr>
          <w:rFonts w:ascii="Times New Roman" w:hAnsi="Times New Roman" w:cs="Times New Roman"/>
          <w:caps/>
        </w:rPr>
      </w:pPr>
    </w:p>
    <w:p w:rsidR="00E85C71" w:rsidRPr="00346489" w:rsidRDefault="00E85C71" w:rsidP="00346489">
      <w:pPr>
        <w:jc w:val="center"/>
        <w:rPr>
          <w:b/>
          <w:bCs/>
          <w:sz w:val="28"/>
          <w:szCs w:val="28"/>
        </w:rPr>
      </w:pPr>
      <w:r w:rsidRPr="00346489">
        <w:rPr>
          <w:b/>
          <w:bCs/>
          <w:sz w:val="28"/>
          <w:szCs w:val="28"/>
        </w:rPr>
        <w:t xml:space="preserve">АДМИНИСТРАЦИЯ </w:t>
      </w:r>
    </w:p>
    <w:p w:rsidR="00E85C71" w:rsidRPr="00346489" w:rsidRDefault="00E85C71" w:rsidP="00346489">
      <w:pPr>
        <w:jc w:val="center"/>
        <w:rPr>
          <w:b/>
          <w:bCs/>
          <w:sz w:val="28"/>
          <w:szCs w:val="28"/>
        </w:rPr>
      </w:pPr>
      <w:r w:rsidRPr="00346489">
        <w:rPr>
          <w:b/>
          <w:bCs/>
          <w:sz w:val="28"/>
          <w:szCs w:val="28"/>
        </w:rPr>
        <w:t>СЕЛЬСКОГО ПОСЕЛЕНИЯ</w:t>
      </w:r>
    </w:p>
    <w:p w:rsidR="00E85C71" w:rsidRPr="00346489" w:rsidRDefault="00E85C71" w:rsidP="00346489">
      <w:pPr>
        <w:jc w:val="center"/>
        <w:rPr>
          <w:b/>
          <w:bCs/>
          <w:sz w:val="28"/>
          <w:szCs w:val="28"/>
        </w:rPr>
      </w:pPr>
      <w:r w:rsidRPr="00346489">
        <w:rPr>
          <w:b/>
          <w:bCs/>
          <w:sz w:val="28"/>
          <w:szCs w:val="28"/>
        </w:rPr>
        <w:t>НОВОКУТОВСКИЙ СЕЛЬСОВЕТ</w:t>
      </w:r>
    </w:p>
    <w:p w:rsidR="00E85C71" w:rsidRPr="00346489" w:rsidRDefault="00E85C71" w:rsidP="00346489">
      <w:pPr>
        <w:jc w:val="center"/>
        <w:rPr>
          <w:b/>
          <w:bCs/>
          <w:sz w:val="28"/>
          <w:szCs w:val="28"/>
        </w:rPr>
      </w:pPr>
      <w:r w:rsidRPr="00346489">
        <w:rPr>
          <w:b/>
          <w:bCs/>
          <w:sz w:val="28"/>
          <w:szCs w:val="28"/>
        </w:rPr>
        <w:t>МУНИЦИПАЛЬНОГО РАЙОНА ЧЕКМАГУШЕВСКИЙ РАЙОН</w:t>
      </w:r>
    </w:p>
    <w:p w:rsidR="00E85C71" w:rsidRDefault="00E85C71" w:rsidP="003464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89">
        <w:rPr>
          <w:b/>
          <w:bCs/>
          <w:sz w:val="28"/>
          <w:szCs w:val="28"/>
        </w:rPr>
        <w:t>РЕСПУБЛИКИ БАШКОРТОСТАН</w:t>
      </w:r>
    </w:p>
    <w:p w:rsidR="00E85C71" w:rsidRPr="00346489" w:rsidRDefault="00E85C71" w:rsidP="003464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C71" w:rsidRDefault="00E85C71" w:rsidP="00346489">
      <w:pPr>
        <w:jc w:val="center"/>
        <w:rPr>
          <w:rFonts w:ascii="Arial New Bash" w:hAnsi="Arial New Bash" w:cs="Arial New Bash"/>
          <w:b/>
          <w:bCs/>
          <w:sz w:val="36"/>
          <w:szCs w:val="36"/>
        </w:rPr>
      </w:pPr>
      <w:r>
        <w:rPr>
          <w:rFonts w:ascii="Arial New Bash" w:hAnsi="Arial New Bash" w:cs="Arial New Bash"/>
          <w:b/>
          <w:bCs/>
          <w:sz w:val="36"/>
          <w:szCs w:val="36"/>
        </w:rPr>
        <w:t>ПОСТАНОВЛЕНИЕ</w:t>
      </w:r>
    </w:p>
    <w:p w:rsidR="00E85C71" w:rsidRDefault="00E85C71" w:rsidP="00F2528E"/>
    <w:p w:rsidR="00E85C71" w:rsidRPr="00F2528E" w:rsidRDefault="00E85C71" w:rsidP="00F2528E">
      <w:pPr>
        <w:ind w:left="360" w:right="2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528E">
        <w:rPr>
          <w:rFonts w:ascii="Times New Roman" w:hAnsi="Times New Roman" w:cs="Times New Roman"/>
          <w:sz w:val="24"/>
          <w:szCs w:val="24"/>
        </w:rPr>
        <w:t>13 июль  2021 й.                                  № 20                       13 июля  2021 г.</w:t>
      </w:r>
    </w:p>
    <w:p w:rsidR="00E85C71" w:rsidRPr="00F2528E" w:rsidRDefault="00E85C71" w:rsidP="00F25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C71" w:rsidRPr="00F2528E" w:rsidRDefault="00E85C71" w:rsidP="00F252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 плана исполнения бюджета сельского поселения Новокутовский сельсовет</w:t>
      </w:r>
    </w:p>
    <w:p w:rsidR="00E85C71" w:rsidRPr="00F2528E" w:rsidRDefault="00E85C71" w:rsidP="00F252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</w:t>
      </w:r>
    </w:p>
    <w:p w:rsidR="00E85C71" w:rsidRPr="00F2528E" w:rsidRDefault="00E85C71" w:rsidP="00F252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85C71" w:rsidRPr="00F2528E" w:rsidRDefault="00E85C71" w:rsidP="00F252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71" w:rsidRPr="00F2528E" w:rsidRDefault="00E85C71" w:rsidP="00F252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C71" w:rsidRPr="00F2528E" w:rsidRDefault="00E85C71" w:rsidP="00F252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>В соответствии со статьей 217.1 Бюджетного кодекса Российской Федерации Администрация сельского поселения Новокутовский сельсовет муниципального района Чекмагушевский район Республики Башкортостан постановляет:</w:t>
      </w:r>
    </w:p>
    <w:p w:rsidR="00E85C71" w:rsidRPr="00F2528E" w:rsidRDefault="00E85C71" w:rsidP="00F252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>1.Утвердить прилагаемый Порядок составления и ведения кассового плана исполнения бюджета сельского поселения Новокутовский сельсовет</w:t>
      </w:r>
      <w:r w:rsidRPr="00F25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28E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 Республики Башкортостан.</w:t>
      </w:r>
    </w:p>
    <w:p w:rsidR="00E85C71" w:rsidRPr="00F2528E" w:rsidRDefault="00E85C71" w:rsidP="00F252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13 июля 2021 года.</w:t>
      </w:r>
    </w:p>
    <w:p w:rsidR="00E85C71" w:rsidRPr="00F2528E" w:rsidRDefault="00E85C71" w:rsidP="00F2528E">
      <w:pPr>
        <w:jc w:val="both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 xml:space="preserve">         3. Признать утратившим силу постановление администрации сельского поселения Новокутовский сельсовет муниципального района Чекмагушевский район Республики Башкортостан № 7 от 12 февраля 2020 года «Об утверждении Порядка составления и ведения кассового плана исполнения бюджета сельского поселения Новокутовский сельсовет муниципального района Чекмагушевский район Республики Башкортостан».</w:t>
      </w:r>
    </w:p>
    <w:p w:rsidR="00E85C71" w:rsidRPr="00F2528E" w:rsidRDefault="00E85C71" w:rsidP="00F252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E85C71" w:rsidRPr="00F2528E" w:rsidRDefault="00E85C71" w:rsidP="00F2528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5C71" w:rsidRPr="00F2528E" w:rsidRDefault="00E85C71" w:rsidP="00F2528E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85C71" w:rsidRPr="00F2528E" w:rsidRDefault="00E85C71" w:rsidP="00F2528E">
      <w:pPr>
        <w:tabs>
          <w:tab w:val="left" w:pos="61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E85C71" w:rsidRPr="00F2528E" w:rsidRDefault="00E85C71" w:rsidP="00F2528E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 w:rsidRPr="00F2528E">
        <w:rPr>
          <w:rFonts w:ascii="Times New Roman" w:hAnsi="Times New Roman" w:cs="Times New Roman"/>
          <w:sz w:val="24"/>
          <w:szCs w:val="24"/>
        </w:rPr>
        <w:t xml:space="preserve">                    главы сельского поселения                                          Ф.Ф.Мухамадеев</w:t>
      </w:r>
    </w:p>
    <w:p w:rsidR="00E85C71" w:rsidRPr="00F2528E" w:rsidRDefault="00E85C71" w:rsidP="00F2528E">
      <w:pPr>
        <w:pStyle w:val="ConsPlusNormal"/>
        <w:jc w:val="right"/>
        <w:outlineLvl w:val="0"/>
        <w:rPr>
          <w:sz w:val="28"/>
          <w:szCs w:val="28"/>
        </w:rPr>
      </w:pPr>
    </w:p>
    <w:p w:rsidR="00E85C71" w:rsidRPr="00F2528E" w:rsidRDefault="00E85C71" w:rsidP="00F2528E">
      <w:pPr>
        <w:pStyle w:val="ConsPlusNormal"/>
        <w:jc w:val="right"/>
        <w:outlineLvl w:val="0"/>
        <w:rPr>
          <w:sz w:val="28"/>
          <w:szCs w:val="28"/>
        </w:rPr>
      </w:pPr>
    </w:p>
    <w:p w:rsidR="00E85C71" w:rsidRDefault="00E85C71" w:rsidP="00F2528E">
      <w:pPr>
        <w:pStyle w:val="ConsPlusNormal"/>
        <w:jc w:val="right"/>
        <w:outlineLvl w:val="0"/>
        <w:rPr>
          <w:sz w:val="28"/>
          <w:szCs w:val="28"/>
        </w:rPr>
      </w:pPr>
    </w:p>
    <w:p w:rsidR="00E85C71" w:rsidRDefault="00E85C71" w:rsidP="001A6120">
      <w:pPr>
        <w:pStyle w:val="ConsPlusNormal"/>
        <w:ind w:firstLine="0"/>
        <w:outlineLvl w:val="0"/>
        <w:rPr>
          <w:sz w:val="28"/>
          <w:szCs w:val="28"/>
        </w:rPr>
      </w:pPr>
    </w:p>
    <w:p w:rsidR="00E85C71" w:rsidRPr="009051C6" w:rsidRDefault="00E85C71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E85C71" w:rsidRPr="009051C6" w:rsidRDefault="00E85C71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E85C71" w:rsidRPr="009051C6" w:rsidRDefault="00E85C71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Новокутовский</w:t>
      </w:r>
      <w:r w:rsidRPr="009051C6">
        <w:rPr>
          <w:sz w:val="24"/>
          <w:szCs w:val="24"/>
        </w:rPr>
        <w:t xml:space="preserve"> сельсовет муниципального</w:t>
      </w:r>
    </w:p>
    <w:p w:rsidR="00E85C71" w:rsidRPr="009051C6" w:rsidRDefault="00E85C71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E85C71" w:rsidRPr="009051C6" w:rsidRDefault="00E85C71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E85C71" w:rsidRPr="009051C6" w:rsidRDefault="00E85C71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>
        <w:rPr>
          <w:sz w:val="24"/>
          <w:szCs w:val="24"/>
        </w:rPr>
        <w:t>21</w:t>
      </w:r>
      <w:r w:rsidRPr="009051C6">
        <w:rPr>
          <w:sz w:val="24"/>
          <w:szCs w:val="24"/>
        </w:rPr>
        <w:t xml:space="preserve"> июля 2021 г. N </w:t>
      </w:r>
      <w:r>
        <w:rPr>
          <w:sz w:val="24"/>
          <w:szCs w:val="24"/>
        </w:rPr>
        <w:t>28</w:t>
      </w:r>
    </w:p>
    <w:p w:rsidR="00E85C71" w:rsidRPr="005A2F7D" w:rsidRDefault="00E85C71" w:rsidP="004E2807">
      <w:pPr>
        <w:pStyle w:val="ConsPlusNormal"/>
        <w:jc w:val="right"/>
      </w:pPr>
    </w:p>
    <w:p w:rsidR="00E85C71" w:rsidRPr="00E87FB9" w:rsidRDefault="00E85C71" w:rsidP="004E2807">
      <w:pPr>
        <w:pStyle w:val="ConsPlusNormal"/>
        <w:jc w:val="right"/>
        <w:rPr>
          <w:sz w:val="24"/>
          <w:szCs w:val="24"/>
        </w:rPr>
      </w:pPr>
    </w:p>
    <w:p w:rsidR="00E85C71" w:rsidRPr="00E87FB9" w:rsidRDefault="00E85C71" w:rsidP="004E2807">
      <w:pPr>
        <w:pStyle w:val="ConsPlusNormal"/>
        <w:jc w:val="center"/>
        <w:rPr>
          <w:sz w:val="24"/>
          <w:szCs w:val="24"/>
        </w:rPr>
      </w:pPr>
    </w:p>
    <w:p w:rsidR="00E85C71" w:rsidRPr="00E87FB9" w:rsidRDefault="00E85C71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E85C71" w:rsidRPr="00E87FB9" w:rsidRDefault="00E85C71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E85C71" w:rsidRPr="00E87FB9" w:rsidRDefault="00E85C71" w:rsidP="004E2807">
      <w:pPr>
        <w:spacing w:after="1"/>
        <w:rPr>
          <w:sz w:val="24"/>
          <w:szCs w:val="24"/>
        </w:rPr>
      </w:pPr>
    </w:p>
    <w:p w:rsidR="00E85C71" w:rsidRPr="00E87FB9" w:rsidRDefault="00E85C71" w:rsidP="004E2807">
      <w:pPr>
        <w:pStyle w:val="ConsPlusNormal"/>
        <w:jc w:val="center"/>
        <w:rPr>
          <w:sz w:val="24"/>
          <w:szCs w:val="24"/>
        </w:rPr>
      </w:pP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C71" w:rsidRPr="00E87FB9" w:rsidRDefault="00E85C71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C71" w:rsidRPr="00E87FB9" w:rsidRDefault="00E85C71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108"/>
      <w:bookmarkEnd w:id="2"/>
    </w:p>
    <w:p w:rsidR="00E85C71" w:rsidRPr="00E87FB9" w:rsidRDefault="00E85C71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Новокутовский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C71" w:rsidRPr="00E87FB9" w:rsidRDefault="00E85C71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Новокутовский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Новокутовский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>
        <w:rPr>
          <w:rFonts w:ascii="Times New Roman" w:hAnsi="Times New Roman" w:cs="Times New Roman"/>
          <w:sz w:val="24"/>
          <w:szCs w:val="24"/>
        </w:rPr>
        <w:t>астоящему Порядку) составляется Администрацией сельского поселения Новокутовский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E85C71" w:rsidRPr="00E87FB9" w:rsidRDefault="00E85C71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85C71" w:rsidRPr="004E2807" w:rsidRDefault="00E85C71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5C71" w:rsidRPr="00540998" w:rsidRDefault="00E85C71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авления</w:t>
      </w:r>
    </w:p>
    <w:p w:rsidR="00E85C71" w:rsidRPr="00540998" w:rsidRDefault="00E85C71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ведения кассового плана</w:t>
      </w:r>
    </w:p>
    <w:p w:rsidR="00E85C71" w:rsidRPr="00540998" w:rsidRDefault="00E85C71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 муниципального района </w:t>
      </w:r>
      <w:r>
        <w:rPr>
          <w:sz w:val="18"/>
          <w:szCs w:val="18"/>
        </w:rPr>
        <w:t>Чекмагушевский</w:t>
      </w:r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>в текущем финансовом году</w:t>
      </w: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85C71" w:rsidRPr="00537A60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85C71" w:rsidRPr="00537A60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85C71" w:rsidRPr="00537A60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E85C71" w:rsidSect="00A0008F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85C71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МУНИИЦИПАЛЬНОГО РАЙОНА ЧЕКМАГУШЕВСКИЙ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НОВОКУТОВСКИЙ СЕЛЬСОВЕТ МР ЧЕКМАГУШЕВСКИЙ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85C71" w:rsidRPr="00C9584E">
        <w:tc>
          <w:tcPr>
            <w:tcW w:w="218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E85C71" w:rsidRPr="00C9584E">
        <w:tc>
          <w:tcPr>
            <w:tcW w:w="218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Новокутовский сельсовет МР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Новокутовский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85C71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Новокутовский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>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>
              <w:rPr>
                <w:sz w:val="18"/>
                <w:szCs w:val="18"/>
              </w:rPr>
              <w:t>Новокутовский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40998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>
              <w:rPr>
                <w:sz w:val="18"/>
                <w:szCs w:val="18"/>
              </w:rPr>
              <w:t>Новокутовский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189" w:type="dxa"/>
          </w:tcPr>
          <w:p w:rsidR="00E85C71" w:rsidRPr="00537A60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>
              <w:rPr>
                <w:sz w:val="18"/>
                <w:szCs w:val="18"/>
              </w:rPr>
              <w:t>Новокутовский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Чекмагушевский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85C71" w:rsidRPr="00B63BB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37A60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85C71" w:rsidRPr="00007F7C" w:rsidRDefault="00E85C71" w:rsidP="004E2807">
      <w:pPr>
        <w:rPr>
          <w:sz w:val="14"/>
          <w:szCs w:val="14"/>
        </w:rPr>
      </w:pPr>
      <w:r>
        <w:rPr>
          <w:sz w:val="14"/>
          <w:szCs w:val="14"/>
        </w:rPr>
        <w:t>»</w:t>
      </w: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537A60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E85C71" w:rsidRPr="00537A60" w:rsidRDefault="00E85C71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E85C71" w:rsidRPr="00537A60" w:rsidRDefault="00E85C71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E85C71" w:rsidRPr="00537A60" w:rsidRDefault="00E85C71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E85C71" w:rsidRDefault="00E85C71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E85C71" w:rsidRDefault="00E85C71" w:rsidP="004E2807">
      <w:pPr>
        <w:pStyle w:val="ConsPlusNormal"/>
        <w:rPr>
          <w:sz w:val="18"/>
          <w:szCs w:val="18"/>
        </w:rPr>
      </w:pP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85C71" w:rsidRDefault="00E85C71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85C71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МР ЧЕКМАГУШЕВСКИЙ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НОВОКУТОВСКИЙ СЕЛЬСОВЕТ МР ЧЕКМАГУШЕВСКИЙ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5C71" w:rsidRPr="00537A60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85C71" w:rsidRPr="00C9584E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85C71" w:rsidRPr="00C9584E">
        <w:trPr>
          <w:trHeight w:val="315"/>
        </w:trPr>
        <w:tc>
          <w:tcPr>
            <w:tcW w:w="2992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25</w:t>
            </w:r>
          </w:p>
        </w:tc>
      </w:tr>
      <w:tr w:rsidR="00E85C71" w:rsidRPr="00C9584E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Остатки на едином счете бюджета сельского поселения Новокутовский сельсовет МР Чекмагушевский район Республики Башкортостан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C71" w:rsidRDefault="00E85C71" w:rsidP="004E2807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85C71" w:rsidRPr="00C9584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25</w:t>
            </w: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Поступления по доходам и источникам - всего,</w:t>
            </w:r>
            <w:r w:rsidRPr="00C9584E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Налоговые и неналоговые доходы,</w:t>
            </w:r>
            <w:r w:rsidRPr="00C9584E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Поступления по источникам финансирования дефицита бюджета сельского поселения Новокутовский сельсовет МР Чекмагушевский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возврат средств бюджета сельского поселения Новокутовский сельсовет МР Чекмагушевский район 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25</w:t>
            </w: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Перечисления по источникам финансирования дефицита бюджета сельского поселения Новокутовский сельсовет МР Чекмагушевский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C71" w:rsidRDefault="00E85C71" w:rsidP="004E2807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25</w:t>
            </w:r>
          </w:p>
        </w:tc>
      </w:tr>
      <w:tr w:rsidR="00E85C71" w:rsidRPr="00C9584E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размещение средств бюджета сельского поселения Новокутовский сельсовет МР Чекмагушевский район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 xml:space="preserve">Остатки на едином счете бюджета сельского поселения Новокутовский сельсовет МР Чекмагушевский район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  <w:r w:rsidRPr="00C9584E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02173A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Чекмагушевский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E85C71" w:rsidRPr="0002173A" w:rsidRDefault="00E85C71" w:rsidP="004E2807">
      <w:pPr>
        <w:rPr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ЧЕКМАГУШЕВСКИЙ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Новокутовский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Чекмагушевский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85C71" w:rsidRPr="00C9584E">
        <w:tc>
          <w:tcPr>
            <w:tcW w:w="1055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E85C71" w:rsidRPr="00C9584E">
        <w:tc>
          <w:tcPr>
            <w:tcW w:w="1055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85C71" w:rsidRPr="0002173A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1055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055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02173A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85C71" w:rsidRPr="0002173A" w:rsidRDefault="00E85C71" w:rsidP="004E2807">
      <w:pPr>
        <w:pStyle w:val="ConsPlusNormal"/>
        <w:jc w:val="both"/>
        <w:rPr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574455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E85C71" w:rsidRPr="00574455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E85C71" w:rsidRPr="00574455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</w:p>
    <w:p w:rsidR="00E85C71" w:rsidRPr="00574455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E85C71" w:rsidRPr="00574455" w:rsidRDefault="00E85C71" w:rsidP="004E2807">
      <w:pPr>
        <w:pStyle w:val="ConsPlusNormal"/>
        <w:rPr>
          <w:sz w:val="18"/>
          <w:szCs w:val="18"/>
        </w:rPr>
      </w:pPr>
    </w:p>
    <w:p w:rsidR="00E85C71" w:rsidRPr="00574455" w:rsidRDefault="00E85C71" w:rsidP="004E2807">
      <w:pPr>
        <w:rPr>
          <w:sz w:val="18"/>
          <w:szCs w:val="18"/>
        </w:rPr>
      </w:pPr>
    </w:p>
    <w:p w:rsidR="00E85C71" w:rsidRPr="00574455" w:rsidRDefault="00E85C71" w:rsidP="004E2807">
      <w:pPr>
        <w:pStyle w:val="ConsPlusNormal"/>
        <w:rPr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 МР ЧЕКМАГУШЕВСКИЙ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5C71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85C71" w:rsidRPr="00C9584E">
        <w:tc>
          <w:tcPr>
            <w:tcW w:w="1763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E85C71" w:rsidRPr="00C9584E">
        <w:tc>
          <w:tcPr>
            <w:tcW w:w="1763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1763" w:type="dxa"/>
          </w:tcPr>
          <w:p w:rsidR="00E85C71" w:rsidRPr="00574455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763" w:type="dxa"/>
          </w:tcPr>
          <w:p w:rsidR="00E85C71" w:rsidRPr="00574455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763" w:type="dxa"/>
          </w:tcPr>
          <w:p w:rsidR="00E85C71" w:rsidRPr="00574455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C71" w:rsidRPr="00574455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85C71" w:rsidRPr="00574455" w:rsidRDefault="00E85C71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02173A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E85C71" w:rsidRPr="0002173A" w:rsidRDefault="00E85C71" w:rsidP="004E2807">
      <w:pPr>
        <w:rPr>
          <w:sz w:val="18"/>
          <w:szCs w:val="18"/>
        </w:rPr>
      </w:pPr>
    </w:p>
    <w:p w:rsidR="00E85C71" w:rsidRPr="0002173A" w:rsidRDefault="00E85C71" w:rsidP="004E2807">
      <w:pPr>
        <w:rPr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МР ЧЕКМАГУШЕВСКИЙ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Новокутовский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Чекмагушевский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85C71" w:rsidRPr="00C9584E">
        <w:trPr>
          <w:trHeight w:val="600"/>
        </w:trPr>
        <w:tc>
          <w:tcPr>
            <w:tcW w:w="1433" w:type="dxa"/>
            <w:vMerge w:val="restart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85C71" w:rsidRPr="00C9584E">
        <w:trPr>
          <w:trHeight w:val="300"/>
        </w:trPr>
        <w:tc>
          <w:tcPr>
            <w:tcW w:w="1433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5C71" w:rsidRPr="00C9584E">
        <w:trPr>
          <w:trHeight w:val="300"/>
        </w:trPr>
        <w:tc>
          <w:tcPr>
            <w:tcW w:w="1433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85C71" w:rsidRPr="00C9584E">
        <w:trPr>
          <w:trHeight w:val="300"/>
        </w:trPr>
        <w:tc>
          <w:tcPr>
            <w:tcW w:w="1433" w:type="dxa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E85C71" w:rsidRPr="00C9584E" w:rsidRDefault="00E85C71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5C71" w:rsidRPr="00C9584E">
        <w:trPr>
          <w:trHeight w:val="300"/>
        </w:trPr>
        <w:tc>
          <w:tcPr>
            <w:tcW w:w="1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5C71" w:rsidRPr="00C9584E">
        <w:trPr>
          <w:trHeight w:val="300"/>
        </w:trPr>
        <w:tc>
          <w:tcPr>
            <w:tcW w:w="1433" w:type="dxa"/>
            <w:noWrap/>
            <w:vAlign w:val="center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85C71" w:rsidRPr="0002173A" w:rsidRDefault="00E85C71" w:rsidP="004E2807">
      <w:pPr>
        <w:pStyle w:val="ConsPlusNormal"/>
        <w:jc w:val="both"/>
        <w:rPr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02173A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4E2807" w:rsidRDefault="00E85C71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574455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E85C71" w:rsidRPr="00574455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E85C71" w:rsidRPr="00574455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Чекмагушевский район</w:t>
      </w:r>
    </w:p>
    <w:p w:rsidR="00E85C71" w:rsidRPr="00574455" w:rsidRDefault="00E85C71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E85C71" w:rsidRPr="00574455" w:rsidRDefault="00E85C71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E85C71" w:rsidRPr="00574455" w:rsidRDefault="00E85C71" w:rsidP="004E2807">
      <w:pPr>
        <w:pStyle w:val="ConsPlusNormal"/>
        <w:rPr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МР ЧЕКМАГУШЕВСКИЙ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5C71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5C71" w:rsidRPr="00C9584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85C71" w:rsidRPr="00C9584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5C71" w:rsidRPr="00C9584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27</w:t>
            </w:r>
          </w:p>
        </w:tc>
      </w:tr>
      <w:tr w:rsidR="00E85C71" w:rsidRPr="00C9584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5C71" w:rsidRPr="00C9584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5C71" w:rsidRPr="00C9584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71" w:rsidRPr="00C9584E" w:rsidRDefault="00E85C71" w:rsidP="00E95C98">
            <w:pPr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C9584E">
              <w:rPr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C71" w:rsidRPr="00C9584E" w:rsidRDefault="00E85C71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874776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Чекмагушевский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E85C71" w:rsidRPr="00874776" w:rsidRDefault="00E85C71" w:rsidP="004E2807">
      <w:pPr>
        <w:rPr>
          <w:sz w:val="18"/>
          <w:szCs w:val="18"/>
        </w:rPr>
      </w:pPr>
    </w:p>
    <w:p w:rsidR="00E85C71" w:rsidRPr="00874776" w:rsidRDefault="00E85C71" w:rsidP="004E2807">
      <w:pPr>
        <w:pStyle w:val="ConsPlusNormal"/>
        <w:rPr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МР ЧЕКМАГУШЕВСКИЙ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Новокутовский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Чекмагушевский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85C71" w:rsidRPr="00C9584E">
        <w:tc>
          <w:tcPr>
            <w:tcW w:w="133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85C71" w:rsidRPr="00874776" w:rsidRDefault="00E85C71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E85C71" w:rsidRPr="00C9584E">
        <w:tc>
          <w:tcPr>
            <w:tcW w:w="133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5C71" w:rsidRPr="00874776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133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C71" w:rsidRPr="00874776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85C71" w:rsidRPr="00874776" w:rsidRDefault="00E85C71" w:rsidP="004E2807">
      <w:pPr>
        <w:pStyle w:val="ConsPlusNormal"/>
        <w:jc w:val="both"/>
        <w:rPr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874776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Чекмагушевский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E85C71" w:rsidRPr="00874776" w:rsidRDefault="00E85C71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E85C71" w:rsidRPr="00874776" w:rsidRDefault="00E85C71" w:rsidP="004E2807">
      <w:pPr>
        <w:pStyle w:val="ConsPlusNormal"/>
        <w:rPr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 МР ЧЕКМАГУШЕВСКИЙ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Новокутовский сельсовет МР Чекмагушевский район                                                                                           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85C71" w:rsidRPr="00C9584E">
        <w:tc>
          <w:tcPr>
            <w:tcW w:w="2271" w:type="dxa"/>
            <w:vMerge w:val="restart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E85C71" w:rsidRPr="00C9584E">
        <w:tc>
          <w:tcPr>
            <w:tcW w:w="2271" w:type="dxa"/>
            <w:vMerge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85C71" w:rsidRPr="00C9584E" w:rsidRDefault="00E85C71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173"/>
        </w:trPr>
        <w:tc>
          <w:tcPr>
            <w:tcW w:w="2271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E85C71" w:rsidRPr="00C9584E">
        <w:trPr>
          <w:trHeight w:val="193"/>
        </w:trPr>
        <w:tc>
          <w:tcPr>
            <w:tcW w:w="2271" w:type="dxa"/>
            <w:vAlign w:val="bottom"/>
          </w:tcPr>
          <w:p w:rsidR="00E85C71" w:rsidRPr="00C71778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rPr>
          <w:trHeight w:val="44"/>
        </w:trPr>
        <w:tc>
          <w:tcPr>
            <w:tcW w:w="2271" w:type="dxa"/>
            <w:vAlign w:val="bottom"/>
          </w:tcPr>
          <w:p w:rsidR="00E85C71" w:rsidRPr="00C71778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2271" w:type="dxa"/>
            <w:vAlign w:val="center"/>
          </w:tcPr>
          <w:p w:rsidR="00E85C71" w:rsidRPr="00C71778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85C71" w:rsidRPr="00C71778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E85C71" w:rsidRPr="00874776" w:rsidRDefault="00E85C71" w:rsidP="004E2807">
      <w:pPr>
        <w:pStyle w:val="ConsPlusNormal"/>
        <w:jc w:val="both"/>
        <w:rPr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85C71" w:rsidRPr="00874776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597252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E85C71" w:rsidRPr="00597252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E85C71" w:rsidRPr="00597252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E85C71" w:rsidRPr="00597252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E85C71" w:rsidRPr="00597252" w:rsidRDefault="00E85C71" w:rsidP="004E2807">
      <w:pPr>
        <w:pStyle w:val="ConsPlusNormal"/>
        <w:rPr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МР ЧЕКМАГУШЕВСКИЙ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Новокутовский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Чекмагушевский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85C71" w:rsidRPr="00C9584E">
        <w:tc>
          <w:tcPr>
            <w:tcW w:w="1338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85C71" w:rsidRPr="00597252" w:rsidRDefault="00E85C71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85C71" w:rsidRPr="00597252" w:rsidRDefault="00E85C71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E85C71" w:rsidRPr="00C9584E">
        <w:tc>
          <w:tcPr>
            <w:tcW w:w="1338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85C71" w:rsidRDefault="00E85C71" w:rsidP="004E28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85C71" w:rsidRPr="00C9584E">
        <w:tc>
          <w:tcPr>
            <w:tcW w:w="1338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85C71" w:rsidRPr="00597252" w:rsidRDefault="00E85C71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85C71" w:rsidRPr="00C9584E">
        <w:tc>
          <w:tcPr>
            <w:tcW w:w="1338" w:type="dxa"/>
          </w:tcPr>
          <w:p w:rsidR="00E85C71" w:rsidRPr="00597252" w:rsidRDefault="00E85C71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E85C71" w:rsidRPr="00597252" w:rsidRDefault="00E85C71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85C71" w:rsidRPr="00597252" w:rsidRDefault="00E85C71" w:rsidP="004E2807">
      <w:pPr>
        <w:pStyle w:val="ConsPlusNormal"/>
        <w:jc w:val="both"/>
        <w:rPr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5C71" w:rsidRPr="00597252" w:rsidRDefault="00E85C71" w:rsidP="004E2807">
      <w:pPr>
        <w:rPr>
          <w:sz w:val="18"/>
          <w:szCs w:val="18"/>
        </w:rPr>
      </w:pPr>
    </w:p>
    <w:p w:rsidR="00E85C71" w:rsidRPr="00574455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74455" w:rsidRDefault="00E85C71" w:rsidP="004E2807">
      <w:pPr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5C71" w:rsidRPr="00597252" w:rsidRDefault="00E85C71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E85C71" w:rsidRPr="00597252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E85C71" w:rsidRPr="00597252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E85C71" w:rsidRPr="00597252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Новокутовский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>МР Чекмагушевский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E85C71" w:rsidRPr="0002173A" w:rsidRDefault="00E85C71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E85C71" w:rsidRPr="00597252" w:rsidRDefault="00E85C71" w:rsidP="004E2807">
      <w:pPr>
        <w:pStyle w:val="ConsPlusNormal"/>
        <w:rPr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НОВОКУТОВСКИЙ СЕЛЬСОВЕТ МР ЧЕКМАГУШЕВСКИЙ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Новокутовский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Чекмагушевский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85C71" w:rsidRPr="00C9584E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E85C71" w:rsidRPr="00C9584E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85C71" w:rsidRPr="00C9584E" w:rsidRDefault="00E85C71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</w:tcPr>
          <w:p w:rsidR="00E85C71" w:rsidRPr="006E741B" w:rsidRDefault="00E85C71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</w:tcPr>
          <w:p w:rsidR="00E85C71" w:rsidRPr="006E741B" w:rsidRDefault="00E85C71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</w:tcPr>
          <w:p w:rsidR="00E85C71" w:rsidRPr="006E741B" w:rsidRDefault="00E85C71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</w:tcPr>
          <w:p w:rsidR="00E85C71" w:rsidRPr="006E741B" w:rsidRDefault="00E85C71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</w:tcPr>
          <w:p w:rsidR="00E85C71" w:rsidRPr="006E741B" w:rsidRDefault="00E85C71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5C71" w:rsidRPr="00C9584E">
        <w:tc>
          <w:tcPr>
            <w:tcW w:w="1622" w:type="dxa"/>
            <w:tcBorders>
              <w:left w:val="single" w:sz="4" w:space="0" w:color="auto"/>
            </w:tcBorders>
          </w:tcPr>
          <w:p w:rsidR="00E85C71" w:rsidRPr="006E741B" w:rsidRDefault="00E85C71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E85C71" w:rsidRPr="006E741B" w:rsidRDefault="00E85C71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85C71" w:rsidRPr="00597252" w:rsidRDefault="00E85C71" w:rsidP="004E2807">
      <w:pPr>
        <w:pStyle w:val="ConsPlusNormal"/>
        <w:jc w:val="both"/>
        <w:rPr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85C71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C71" w:rsidRPr="00597252" w:rsidRDefault="00E85C71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85C71" w:rsidRDefault="00E85C71" w:rsidP="00AB42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85C71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71" w:rsidRDefault="00E85C71" w:rsidP="004E2807">
      <w:pPr>
        <w:spacing w:after="0" w:line="240" w:lineRule="auto"/>
      </w:pPr>
      <w:r>
        <w:separator/>
      </w:r>
    </w:p>
  </w:endnote>
  <w:endnote w:type="continuationSeparator" w:id="1">
    <w:p w:rsidR="00E85C71" w:rsidRDefault="00E85C71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71" w:rsidRDefault="00E85C71" w:rsidP="004E2807">
      <w:pPr>
        <w:spacing w:after="0" w:line="240" w:lineRule="auto"/>
      </w:pPr>
      <w:r>
        <w:separator/>
      </w:r>
    </w:p>
  </w:footnote>
  <w:footnote w:type="continuationSeparator" w:id="1">
    <w:p w:rsidR="00E85C71" w:rsidRDefault="00E85C71" w:rsidP="004E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2"/>
  </w:num>
  <w:num w:numId="5">
    <w:abstractNumId w:val="17"/>
  </w:num>
  <w:num w:numId="6">
    <w:abstractNumId w:val="13"/>
  </w:num>
  <w:num w:numId="7">
    <w:abstractNumId w:val="29"/>
  </w:num>
  <w:num w:numId="8">
    <w:abstractNumId w:val="1"/>
  </w:num>
  <w:num w:numId="9">
    <w:abstractNumId w:val="19"/>
  </w:num>
  <w:num w:numId="10">
    <w:abstractNumId w:val="7"/>
  </w:num>
  <w:num w:numId="11">
    <w:abstractNumId w:val="20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18"/>
  </w:num>
  <w:num w:numId="17">
    <w:abstractNumId w:val="26"/>
  </w:num>
  <w:num w:numId="18">
    <w:abstractNumId w:val="22"/>
  </w:num>
  <w:num w:numId="19">
    <w:abstractNumId w:val="24"/>
  </w:num>
  <w:num w:numId="20">
    <w:abstractNumId w:val="11"/>
  </w:num>
  <w:num w:numId="21">
    <w:abstractNumId w:val="23"/>
  </w:num>
  <w:num w:numId="22">
    <w:abstractNumId w:val="14"/>
  </w:num>
  <w:num w:numId="23">
    <w:abstractNumId w:val="31"/>
  </w:num>
  <w:num w:numId="24">
    <w:abstractNumId w:val="34"/>
  </w:num>
  <w:num w:numId="25">
    <w:abstractNumId w:val="35"/>
  </w:num>
  <w:num w:numId="26">
    <w:abstractNumId w:val="12"/>
  </w:num>
  <w:num w:numId="27">
    <w:abstractNumId w:val="10"/>
  </w:num>
  <w:num w:numId="28">
    <w:abstractNumId w:val="30"/>
  </w:num>
  <w:num w:numId="29">
    <w:abstractNumId w:val="8"/>
  </w:num>
  <w:num w:numId="30">
    <w:abstractNumId w:val="27"/>
  </w:num>
  <w:num w:numId="31">
    <w:abstractNumId w:val="3"/>
  </w:num>
  <w:num w:numId="32">
    <w:abstractNumId w:val="25"/>
  </w:num>
  <w:num w:numId="33">
    <w:abstractNumId w:val="2"/>
  </w:num>
  <w:num w:numId="34">
    <w:abstractNumId w:val="28"/>
  </w:num>
  <w:num w:numId="35">
    <w:abstractNumId w:val="6"/>
  </w:num>
  <w:num w:numId="36">
    <w:abstractNumId w:val="0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1B"/>
    <w:rsid w:val="00007F7C"/>
    <w:rsid w:val="0002173A"/>
    <w:rsid w:val="00035540"/>
    <w:rsid w:val="00037346"/>
    <w:rsid w:val="000858A6"/>
    <w:rsid w:val="000B1163"/>
    <w:rsid w:val="000B3C91"/>
    <w:rsid w:val="000C48E0"/>
    <w:rsid w:val="000D4400"/>
    <w:rsid w:val="000E0748"/>
    <w:rsid w:val="000E4A35"/>
    <w:rsid w:val="000E632B"/>
    <w:rsid w:val="000F4051"/>
    <w:rsid w:val="000F6932"/>
    <w:rsid w:val="00102693"/>
    <w:rsid w:val="00112278"/>
    <w:rsid w:val="00117F38"/>
    <w:rsid w:val="00126152"/>
    <w:rsid w:val="00195BC0"/>
    <w:rsid w:val="00197C22"/>
    <w:rsid w:val="001A6120"/>
    <w:rsid w:val="001B353B"/>
    <w:rsid w:val="001B3E64"/>
    <w:rsid w:val="001C78C4"/>
    <w:rsid w:val="001C7FE6"/>
    <w:rsid w:val="001E6F6B"/>
    <w:rsid w:val="00210698"/>
    <w:rsid w:val="00225497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46489"/>
    <w:rsid w:val="0035234D"/>
    <w:rsid w:val="00382106"/>
    <w:rsid w:val="003A5610"/>
    <w:rsid w:val="003A7EB4"/>
    <w:rsid w:val="003B7217"/>
    <w:rsid w:val="003F1BA2"/>
    <w:rsid w:val="004177F4"/>
    <w:rsid w:val="0042442D"/>
    <w:rsid w:val="00432CA0"/>
    <w:rsid w:val="0045748B"/>
    <w:rsid w:val="00467C55"/>
    <w:rsid w:val="004873F3"/>
    <w:rsid w:val="004A2D80"/>
    <w:rsid w:val="004A3165"/>
    <w:rsid w:val="004B0709"/>
    <w:rsid w:val="004B3B1F"/>
    <w:rsid w:val="004C0959"/>
    <w:rsid w:val="004C2FBC"/>
    <w:rsid w:val="004E2807"/>
    <w:rsid w:val="004E7A8E"/>
    <w:rsid w:val="005032C7"/>
    <w:rsid w:val="00534592"/>
    <w:rsid w:val="00537A60"/>
    <w:rsid w:val="00540998"/>
    <w:rsid w:val="00574455"/>
    <w:rsid w:val="00585C05"/>
    <w:rsid w:val="00597252"/>
    <w:rsid w:val="005A2F7D"/>
    <w:rsid w:val="005E4BBA"/>
    <w:rsid w:val="005F2815"/>
    <w:rsid w:val="005F694B"/>
    <w:rsid w:val="006052E0"/>
    <w:rsid w:val="006143C3"/>
    <w:rsid w:val="0062734F"/>
    <w:rsid w:val="0063150A"/>
    <w:rsid w:val="00633A94"/>
    <w:rsid w:val="006368F9"/>
    <w:rsid w:val="00642D29"/>
    <w:rsid w:val="00677D0D"/>
    <w:rsid w:val="006975CA"/>
    <w:rsid w:val="006B5C40"/>
    <w:rsid w:val="006C00D0"/>
    <w:rsid w:val="006C68B7"/>
    <w:rsid w:val="006D121F"/>
    <w:rsid w:val="006E741B"/>
    <w:rsid w:val="006F04CD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350"/>
    <w:rsid w:val="00771C2D"/>
    <w:rsid w:val="00772C5B"/>
    <w:rsid w:val="00792B19"/>
    <w:rsid w:val="00793AC4"/>
    <w:rsid w:val="00793F2B"/>
    <w:rsid w:val="007942C2"/>
    <w:rsid w:val="007A7798"/>
    <w:rsid w:val="007B04B3"/>
    <w:rsid w:val="007C3229"/>
    <w:rsid w:val="007D3987"/>
    <w:rsid w:val="007E3BD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74776"/>
    <w:rsid w:val="008806DF"/>
    <w:rsid w:val="008B6773"/>
    <w:rsid w:val="008D0FD4"/>
    <w:rsid w:val="008D2F29"/>
    <w:rsid w:val="008F33BB"/>
    <w:rsid w:val="00902734"/>
    <w:rsid w:val="009051C6"/>
    <w:rsid w:val="00926598"/>
    <w:rsid w:val="00936CC2"/>
    <w:rsid w:val="009469C0"/>
    <w:rsid w:val="0097202E"/>
    <w:rsid w:val="009A5CE2"/>
    <w:rsid w:val="009A605C"/>
    <w:rsid w:val="009C2684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54706"/>
    <w:rsid w:val="00B57779"/>
    <w:rsid w:val="00B6121B"/>
    <w:rsid w:val="00B63BB2"/>
    <w:rsid w:val="00B7736D"/>
    <w:rsid w:val="00BA083B"/>
    <w:rsid w:val="00BB4110"/>
    <w:rsid w:val="00BE0C79"/>
    <w:rsid w:val="00C11A9B"/>
    <w:rsid w:val="00C27CC2"/>
    <w:rsid w:val="00C30DD2"/>
    <w:rsid w:val="00C3189B"/>
    <w:rsid w:val="00C435D9"/>
    <w:rsid w:val="00C46D4B"/>
    <w:rsid w:val="00C53FCB"/>
    <w:rsid w:val="00C71778"/>
    <w:rsid w:val="00C81755"/>
    <w:rsid w:val="00C9584E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22AE"/>
    <w:rsid w:val="00D350C1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6A8C"/>
    <w:rsid w:val="00E035CF"/>
    <w:rsid w:val="00E1100C"/>
    <w:rsid w:val="00E12F73"/>
    <w:rsid w:val="00E26183"/>
    <w:rsid w:val="00E36F82"/>
    <w:rsid w:val="00E400BC"/>
    <w:rsid w:val="00E510E9"/>
    <w:rsid w:val="00E85180"/>
    <w:rsid w:val="00E85C71"/>
    <w:rsid w:val="00E87FB9"/>
    <w:rsid w:val="00E95C98"/>
    <w:rsid w:val="00EB6836"/>
    <w:rsid w:val="00ED2AA5"/>
    <w:rsid w:val="00EE3D75"/>
    <w:rsid w:val="00EE6B03"/>
    <w:rsid w:val="00F14B11"/>
    <w:rsid w:val="00F2528E"/>
    <w:rsid w:val="00F3291E"/>
    <w:rsid w:val="00F452FF"/>
    <w:rsid w:val="00F46973"/>
    <w:rsid w:val="00F620EB"/>
    <w:rsid w:val="00F65660"/>
    <w:rsid w:val="00F775CD"/>
    <w:rsid w:val="00F8793D"/>
    <w:rsid w:val="00F906EF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69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807"/>
    <w:pPr>
      <w:keepNext/>
      <w:spacing w:after="0" w:line="240" w:lineRule="auto"/>
      <w:outlineLvl w:val="0"/>
    </w:pPr>
    <w:rPr>
      <w:rFonts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DC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807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121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121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2807"/>
    <w:pPr>
      <w:keepNext/>
      <w:spacing w:after="0" w:line="240" w:lineRule="auto"/>
      <w:ind w:left="3600" w:firstLine="720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2807"/>
    <w:pPr>
      <w:keepNext/>
      <w:spacing w:after="0" w:line="240" w:lineRule="auto"/>
      <w:outlineLvl w:val="7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DC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121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121B"/>
    <w:rPr>
      <w:rFonts w:ascii="Arial New Bash" w:hAnsi="Arial New Bash" w:cs="Arial New Bash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280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aliases w:val="ПФ-таб.текст Char"/>
    <w:link w:val="NoSpacing"/>
    <w:uiPriority w:val="99"/>
    <w:locked/>
    <w:rsid w:val="00B6121B"/>
    <w:rPr>
      <w:sz w:val="22"/>
      <w:szCs w:val="22"/>
      <w:lang w:val="ru-RU" w:eastAsia="ru-RU"/>
    </w:rPr>
  </w:style>
  <w:style w:type="paragraph" w:styleId="NoSpacing">
    <w:name w:val="No Spacing"/>
    <w:aliases w:val="ПФ-таб.текст"/>
    <w:link w:val="NoSpacingChar"/>
    <w:uiPriority w:val="99"/>
    <w:qFormat/>
    <w:rsid w:val="00B6121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121B"/>
    <w:pPr>
      <w:spacing w:after="12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121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177F4"/>
    <w:pPr>
      <w:ind w:left="720"/>
    </w:pPr>
  </w:style>
  <w:style w:type="paragraph" w:customStyle="1" w:styleId="ConsPlusTitle">
    <w:name w:val="ConsPlusTitle"/>
    <w:uiPriority w:val="99"/>
    <w:rsid w:val="007223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1069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772C5B"/>
    <w:rPr>
      <w:color w:val="0000FF"/>
      <w:u w:val="single"/>
    </w:rPr>
  </w:style>
  <w:style w:type="paragraph" w:styleId="Caption">
    <w:name w:val="caption"/>
    <w:basedOn w:val="Normal"/>
    <w:uiPriority w:val="99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4E2807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2807"/>
    <w:pPr>
      <w:spacing w:after="0" w:line="240" w:lineRule="auto"/>
      <w:ind w:firstLine="720"/>
      <w:jc w:val="both"/>
    </w:pPr>
    <w:rPr>
      <w:rFonts w:cs="Times New Roman"/>
      <w:sz w:val="28"/>
      <w:szCs w:val="28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2807"/>
    <w:rPr>
      <w:rFonts w:ascii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4E2807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E2807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E2807"/>
    <w:pPr>
      <w:spacing w:after="0" w:line="240" w:lineRule="auto"/>
      <w:ind w:firstLine="720"/>
    </w:pPr>
    <w:rPr>
      <w:rFonts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280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E2807"/>
  </w:style>
  <w:style w:type="paragraph" w:styleId="Title">
    <w:name w:val="Title"/>
    <w:basedOn w:val="Normal"/>
    <w:link w:val="TitleChar"/>
    <w:uiPriority w:val="99"/>
    <w:qFormat/>
    <w:rsid w:val="004E280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80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80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E2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4E28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E2807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E280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E2807"/>
    <w:rPr>
      <w:b/>
      <w:bCs/>
    </w:rPr>
  </w:style>
  <w:style w:type="paragraph" w:customStyle="1" w:styleId="10">
    <w:name w:val="Знак1 Знак Знак Знак"/>
    <w:basedOn w:val="Normal"/>
    <w:uiPriority w:val="99"/>
    <w:rsid w:val="004E280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4E280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4E2807"/>
    <w:rPr>
      <w:color w:val="800080"/>
      <w:u w:val="single"/>
    </w:rPr>
  </w:style>
  <w:style w:type="paragraph" w:customStyle="1" w:styleId="Default">
    <w:name w:val="Default"/>
    <w:uiPriority w:val="99"/>
    <w:rsid w:val="004E2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4E2807"/>
    <w:pPr>
      <w:numPr>
        <w:numId w:val="35"/>
      </w:numPr>
      <w:tabs>
        <w:tab w:val="clear" w:pos="1428"/>
        <w:tab w:val="num" w:pos="360"/>
      </w:tabs>
      <w:spacing w:after="0" w:line="240" w:lineRule="auto"/>
      <w:ind w:left="360"/>
    </w:pPr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4E280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37</Pages>
  <Words>8694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F1</cp:lastModifiedBy>
  <cp:revision>5</cp:revision>
  <cp:lastPrinted>2021-06-29T06:58:00Z</cp:lastPrinted>
  <dcterms:created xsi:type="dcterms:W3CDTF">2021-07-28T08:33:00Z</dcterms:created>
  <dcterms:modified xsi:type="dcterms:W3CDTF">2021-07-29T05:00:00Z</dcterms:modified>
</cp:coreProperties>
</file>